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2ED9" w14:textId="77777777" w:rsidR="009678EB" w:rsidRDefault="00C1623C" w:rsidP="005E3323">
      <w:pPr>
        <w:spacing w:after="12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Policy Statement</w:t>
      </w:r>
    </w:p>
    <w:p w14:paraId="3E840D54" w14:textId="77777777" w:rsidR="000948CC" w:rsidRPr="00435850" w:rsidRDefault="00435850" w:rsidP="00435850">
      <w:pPr>
        <w:autoSpaceDE w:val="0"/>
        <w:autoSpaceDN w:val="0"/>
        <w:adjustRightInd w:val="0"/>
        <w:spacing w:after="1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 an educational and cultural institution and as part of its pu</w:t>
      </w:r>
      <w:r w:rsidR="007900B3">
        <w:rPr>
          <w:rFonts w:ascii="Georgia" w:hAnsi="Georgia" w:cs="Georgia"/>
          <w:sz w:val="24"/>
          <w:szCs w:val="24"/>
        </w:rPr>
        <w:t>blic service, the Harrison Township</w:t>
      </w:r>
      <w:r>
        <w:rPr>
          <w:rFonts w:ascii="Georgia" w:hAnsi="Georgia" w:cs="Georgia"/>
          <w:sz w:val="24"/>
          <w:szCs w:val="24"/>
        </w:rPr>
        <w:t xml:space="preserve"> Public Library (</w:t>
      </w:r>
      <w:r w:rsidR="00471FD0">
        <w:rPr>
          <w:rFonts w:ascii="Georgia" w:hAnsi="Georgia" w:cs="Georgia"/>
          <w:sz w:val="24"/>
          <w:szCs w:val="24"/>
        </w:rPr>
        <w:t>HTPL</w:t>
      </w:r>
      <w:r>
        <w:rPr>
          <w:rFonts w:ascii="Georgia" w:hAnsi="Georgia" w:cs="Georgia"/>
          <w:sz w:val="24"/>
          <w:szCs w:val="24"/>
        </w:rPr>
        <w:t>) provides designated areas for displays, handouts and announcements of interest.</w:t>
      </w:r>
    </w:p>
    <w:p w14:paraId="6B0028D4" w14:textId="77777777" w:rsidR="00435850" w:rsidRPr="000948CC" w:rsidRDefault="00435850" w:rsidP="00435850">
      <w:pPr>
        <w:pStyle w:val="ListParagraph"/>
        <w:pBdr>
          <w:bottom w:val="single" w:sz="6" w:space="1" w:color="auto"/>
        </w:pBdr>
        <w:spacing w:after="120"/>
        <w:ind w:left="0"/>
        <w:contextualSpacing w:val="0"/>
        <w:rPr>
          <w:rFonts w:ascii="Georgia" w:hAnsi="Georgia"/>
          <w:sz w:val="24"/>
          <w:szCs w:val="24"/>
        </w:rPr>
      </w:pPr>
    </w:p>
    <w:p w14:paraId="002B3AA4" w14:textId="77777777" w:rsidR="00537981" w:rsidRDefault="00537981" w:rsidP="00537981">
      <w:pPr>
        <w:pStyle w:val="ListParagraph"/>
        <w:spacing w:after="120"/>
        <w:ind w:left="0"/>
        <w:rPr>
          <w:rFonts w:ascii="Georgia" w:hAnsi="Georgia"/>
          <w:sz w:val="24"/>
          <w:szCs w:val="24"/>
        </w:rPr>
      </w:pPr>
    </w:p>
    <w:p w14:paraId="15754F2B" w14:textId="77777777" w:rsidR="00537981" w:rsidRPr="004A57A3" w:rsidRDefault="00537981" w:rsidP="00537981">
      <w:pPr>
        <w:spacing w:after="120"/>
        <w:rPr>
          <w:rFonts w:ascii="Trebuchet MS" w:hAnsi="Trebuchet MS"/>
          <w:sz w:val="26"/>
          <w:szCs w:val="26"/>
        </w:rPr>
      </w:pPr>
      <w:r w:rsidRPr="004A57A3">
        <w:rPr>
          <w:rFonts w:ascii="Trebuchet MS" w:hAnsi="Trebuchet MS"/>
          <w:sz w:val="26"/>
          <w:szCs w:val="26"/>
        </w:rPr>
        <w:t xml:space="preserve">Regulations </w:t>
      </w:r>
    </w:p>
    <w:p w14:paraId="506AD0D4" w14:textId="77777777" w:rsidR="00435850" w:rsidRDefault="00435850" w:rsidP="00DE1F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General</w:t>
      </w:r>
    </w:p>
    <w:p w14:paraId="2CDA43AB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The library or other nonprofit organizations, community groups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governmental agencies may provide materials.</w:t>
      </w:r>
    </w:p>
    <w:p w14:paraId="4C62BD54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Displays, handouts and announcements must be approved by the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library director or appointed designee(s) before being set up or posted.</w:t>
      </w:r>
    </w:p>
    <w:p w14:paraId="030620ED" w14:textId="77777777" w:rsidR="00435850" w:rsidRDefault="00435850" w:rsidP="00DE1F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Displays and Exhibits</w:t>
      </w:r>
    </w:p>
    <w:p w14:paraId="1D29DCAC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The library retains priority rights to all display space for library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purposes.</w:t>
      </w:r>
    </w:p>
    <w:p w14:paraId="6A036B48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Display space is available on an equitable basis, regardless of the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beliefs or affiliations of an individual or group.</w:t>
      </w:r>
    </w:p>
    <w:p w14:paraId="20378DDD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Displays must support the mission of the library and not cause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disruption of the regular flow of library work and service.</w:t>
      </w:r>
    </w:p>
    <w:p w14:paraId="0E4A0F8F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The library may limit the size of the display, number of items, schedule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and the frequency an individual or group has a display.</w:t>
      </w:r>
    </w:p>
    <w:p w14:paraId="4A43A43C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Setup and removal of displays are the responsibility of the owner.</w:t>
      </w:r>
    </w:p>
    <w:p w14:paraId="20006FFC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The library assumes no liability in the event of damage, destruction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theft of a display.</w:t>
      </w:r>
    </w:p>
    <w:p w14:paraId="4BD4D663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A sign stating the sponsorship of the display may be included. Values of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displayed items shall not be included.</w:t>
      </w:r>
    </w:p>
    <w:p w14:paraId="3F316483" w14:textId="77777777" w:rsidR="00435850" w:rsidRDefault="00435850" w:rsidP="00DE1F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Handouts, Announcements and Signs</w:t>
      </w:r>
    </w:p>
    <w:p w14:paraId="64E9D98B" w14:textId="77777777" w:rsidR="00435850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Distribution or posting of materials by the library does not indicate the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library’s endorsement of the issue or events promoted by those</w:t>
      </w:r>
      <w:r>
        <w:rPr>
          <w:rFonts w:ascii="Georgia" w:hAnsi="Georgia" w:cs="Georgia"/>
          <w:sz w:val="24"/>
          <w:szCs w:val="24"/>
        </w:rPr>
        <w:t xml:space="preserve"> </w:t>
      </w:r>
      <w:r w:rsidRPr="00435850">
        <w:rPr>
          <w:rFonts w:ascii="Georgia" w:hAnsi="Georgia" w:cs="Georgia"/>
          <w:sz w:val="24"/>
          <w:szCs w:val="24"/>
        </w:rPr>
        <w:t>materials.</w:t>
      </w:r>
    </w:p>
    <w:p w14:paraId="7A4B8F2C" w14:textId="77777777" w:rsidR="00DE1F66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435850">
        <w:rPr>
          <w:rFonts w:ascii="Georgia" w:hAnsi="Georgia" w:cs="Georgia"/>
          <w:sz w:val="24"/>
          <w:szCs w:val="24"/>
        </w:rPr>
        <w:t>The library does not accept promotional campaign materials about</w:t>
      </w:r>
      <w:r w:rsidR="00DE1F66"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individuals running for political office or other ballot issues.</w:t>
      </w:r>
    </w:p>
    <w:p w14:paraId="3FC0777B" w14:textId="77777777" w:rsidR="00DE1F66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The library will not post subpoenas or other materials from process</w:t>
      </w:r>
      <w:r w:rsidR="00DE1F66"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servers.</w:t>
      </w:r>
    </w:p>
    <w:p w14:paraId="55B4841F" w14:textId="77777777" w:rsidR="00DE1F66" w:rsidRDefault="00435850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Unapproved materials will be disposed of at the library’s discretion.</w:t>
      </w:r>
    </w:p>
    <w:p w14:paraId="093D7C52" w14:textId="77777777" w:rsidR="00211489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 xml:space="preserve">The library and Friends of </w:t>
      </w:r>
      <w:r w:rsidR="00471FD0">
        <w:rPr>
          <w:rFonts w:ascii="Georgia" w:hAnsi="Georgia" w:cs="Georgia"/>
          <w:sz w:val="24"/>
          <w:szCs w:val="24"/>
        </w:rPr>
        <w:t>HTPL</w:t>
      </w:r>
      <w:r w:rsidRPr="00DE1F66">
        <w:rPr>
          <w:rFonts w:ascii="Georgia" w:hAnsi="Georgia" w:cs="Georgia"/>
          <w:sz w:val="24"/>
          <w:szCs w:val="24"/>
        </w:rPr>
        <w:t xml:space="preserve"> retain priority rights to space for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handouts and announcements. Materials from other eligible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organizations will be posted as space permits and may be removed at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any time.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 xml:space="preserve">Signs </w:t>
      </w:r>
      <w:r w:rsidRPr="00DE1F66">
        <w:rPr>
          <w:rFonts w:ascii="Georgia" w:hAnsi="Georgia" w:cs="Georgia"/>
          <w:sz w:val="24"/>
          <w:szCs w:val="24"/>
        </w:rPr>
        <w:lastRenderedPageBreak/>
        <w:t>shall only be posted on library property with prior permission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from the library director and in compliance with local ordinances.</w:t>
      </w:r>
    </w:p>
    <w:p w14:paraId="16D70E37" w14:textId="77777777" w:rsidR="00DE1F66" w:rsidRDefault="00DE1F66" w:rsidP="00DE1F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Petitioning and Protests</w:t>
      </w:r>
    </w:p>
    <w:p w14:paraId="5348FED7" w14:textId="77777777" w:rsidR="00DE1F66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The library allows petitioning, distribution of literature or leaflets and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canvassing or similar types of appeals by members of the public no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closer than fifty feet either side of the exterior doors of the library’s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public entrances.</w:t>
      </w:r>
    </w:p>
    <w:p w14:paraId="3265540D" w14:textId="77777777" w:rsidR="00DE1F66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</w:t>
      </w:r>
      <w:r w:rsidRPr="00DE1F66">
        <w:rPr>
          <w:rFonts w:ascii="Georgia" w:hAnsi="Georgia" w:cs="Georgia"/>
          <w:sz w:val="24"/>
          <w:szCs w:val="24"/>
        </w:rPr>
        <w:t>etitioning, distribution of literature or leaflets and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canvassing or similar types of appeals by members of the public must not interfere with building or parking lot ingress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egress and must not take place in the parking lots.</w:t>
      </w:r>
    </w:p>
    <w:p w14:paraId="7456374F" w14:textId="77777777" w:rsidR="00DE1F66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Protests and other similar activities must take place no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closer than fifty feet either side of the exterior doors of the library’s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public entrances.</w:t>
      </w:r>
    </w:p>
    <w:p w14:paraId="2A94C192" w14:textId="77777777" w:rsidR="00DE1F66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Activities must not interfere with building or parking lot ingress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egress and must not take place in the parking lots.</w:t>
      </w:r>
    </w:p>
    <w:p w14:paraId="27D2B8DC" w14:textId="77777777" w:rsidR="00DE1F66" w:rsidRPr="00DE1F66" w:rsidRDefault="00DE1F66" w:rsidP="00DE1F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Activities must not be so loud as to be considered a breach of peace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disrupt library programs and services.</w:t>
      </w:r>
    </w:p>
    <w:p w14:paraId="5A0A99F3" w14:textId="77777777" w:rsidR="00DE1F66" w:rsidRDefault="00DE1F66" w:rsidP="00DE1F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Panhandling, Sales and Fundraising</w:t>
      </w:r>
    </w:p>
    <w:p w14:paraId="63C0EACC" w14:textId="77777777" w:rsidR="00471FD0" w:rsidRPr="00C069FD" w:rsidRDefault="00DE1F66" w:rsidP="00471FD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Georgia" w:hAnsi="Georgia" w:cs="Georgia"/>
          <w:sz w:val="24"/>
          <w:szCs w:val="24"/>
        </w:rPr>
      </w:pPr>
      <w:r w:rsidRPr="00DE1F66">
        <w:rPr>
          <w:rFonts w:ascii="Georgia" w:hAnsi="Georgia" w:cs="Georgia"/>
          <w:sz w:val="24"/>
          <w:szCs w:val="24"/>
        </w:rPr>
        <w:t>The library does not allow panhandling or the sale or promotion of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goods, services or fundraising events in the public areas of the library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building, on the grounds or in the parking lot. The only merchandising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 xml:space="preserve">activities permitted are library or Friends of </w:t>
      </w:r>
      <w:r w:rsidR="00471FD0">
        <w:rPr>
          <w:rFonts w:ascii="Georgia" w:hAnsi="Georgia" w:cs="Georgia"/>
          <w:sz w:val="24"/>
          <w:szCs w:val="24"/>
        </w:rPr>
        <w:t>HTPL</w:t>
      </w:r>
      <w:r w:rsidRPr="00DE1F66">
        <w:rPr>
          <w:rFonts w:ascii="Georgia" w:hAnsi="Georgia" w:cs="Georgia"/>
          <w:sz w:val="24"/>
          <w:szCs w:val="24"/>
        </w:rPr>
        <w:t>-sponsored sales or</w:t>
      </w:r>
      <w:r>
        <w:rPr>
          <w:rFonts w:ascii="Georgia" w:hAnsi="Georgia" w:cs="Georgia"/>
          <w:sz w:val="24"/>
          <w:szCs w:val="24"/>
        </w:rPr>
        <w:t xml:space="preserve"> </w:t>
      </w:r>
      <w:r w:rsidRPr="00DE1F66">
        <w:rPr>
          <w:rFonts w:ascii="Georgia" w:hAnsi="Georgia" w:cs="Georgia"/>
          <w:sz w:val="24"/>
          <w:szCs w:val="24"/>
        </w:rPr>
        <w:t>activities approved by the library director.</w:t>
      </w:r>
    </w:p>
    <w:p w14:paraId="7AFC870C" w14:textId="77777777" w:rsidR="00471FD0" w:rsidRPr="00DA21CC" w:rsidRDefault="00471FD0" w:rsidP="00471FD0">
      <w:pPr>
        <w:pStyle w:val="ListParagraph"/>
        <w:pBdr>
          <w:bottom w:val="single" w:sz="6" w:space="1" w:color="auto"/>
        </w:pBdr>
        <w:spacing w:after="120"/>
        <w:ind w:left="0"/>
        <w:rPr>
          <w:rFonts w:ascii="Georgia" w:hAnsi="Georgia"/>
          <w:sz w:val="24"/>
          <w:szCs w:val="24"/>
        </w:rPr>
      </w:pPr>
    </w:p>
    <w:p w14:paraId="44D5C9A0" w14:textId="77777777" w:rsidR="00471FD0" w:rsidRPr="00211489" w:rsidRDefault="00471FD0" w:rsidP="00471FD0">
      <w:pPr>
        <w:spacing w:after="120"/>
        <w:rPr>
          <w:rFonts w:ascii="Georgia" w:hAnsi="Georgia"/>
          <w:sz w:val="20"/>
          <w:szCs w:val="20"/>
        </w:rPr>
      </w:pPr>
      <w:r w:rsidRPr="00211489">
        <w:rPr>
          <w:rFonts w:ascii="Georgia" w:hAnsi="Georgia"/>
          <w:sz w:val="20"/>
          <w:szCs w:val="20"/>
        </w:rPr>
        <w:t xml:space="preserve">Approved: </w:t>
      </w:r>
      <w:r w:rsidRPr="002E4213">
        <w:rPr>
          <w:rFonts w:ascii="Georgia" w:hAnsi="Georgia"/>
          <w:sz w:val="20"/>
          <w:szCs w:val="20"/>
        </w:rPr>
        <w:t>April 18, 2011</w:t>
      </w:r>
      <w:r w:rsidR="00C069FD">
        <w:rPr>
          <w:rFonts w:ascii="Georgia" w:hAnsi="Georgia"/>
          <w:sz w:val="20"/>
          <w:szCs w:val="20"/>
        </w:rPr>
        <w:t>; r</w:t>
      </w:r>
      <w:r>
        <w:rPr>
          <w:rFonts w:ascii="Georgia" w:hAnsi="Georgia"/>
          <w:sz w:val="20"/>
          <w:szCs w:val="20"/>
        </w:rPr>
        <w:t xml:space="preserve">evised March 14, 2016. Replaces </w:t>
      </w:r>
      <w:r w:rsidRPr="00471FD0">
        <w:rPr>
          <w:rFonts w:ascii="Georgia" w:hAnsi="Georgia"/>
          <w:i/>
          <w:sz w:val="20"/>
          <w:szCs w:val="20"/>
        </w:rPr>
        <w:t>Promotional Materials Policy</w:t>
      </w:r>
      <w:r w:rsidR="00C069FD">
        <w:rPr>
          <w:rFonts w:ascii="Georgia" w:hAnsi="Georgia"/>
          <w:sz w:val="20"/>
          <w:szCs w:val="20"/>
        </w:rPr>
        <w:t xml:space="preserve"> approved:</w:t>
      </w:r>
      <w:r>
        <w:rPr>
          <w:rFonts w:ascii="Georgia" w:hAnsi="Georgia"/>
          <w:sz w:val="20"/>
          <w:szCs w:val="20"/>
        </w:rPr>
        <w:t xml:space="preserve"> December, 9, 2009</w:t>
      </w:r>
      <w:r w:rsidRPr="00211489">
        <w:rPr>
          <w:rFonts w:ascii="Georgia" w:hAnsi="Georgia"/>
          <w:sz w:val="20"/>
          <w:szCs w:val="20"/>
        </w:rPr>
        <w:br/>
        <w:t>Harrison Township Public Library Board of Trustees</w:t>
      </w:r>
    </w:p>
    <w:p w14:paraId="58A4D91D" w14:textId="77777777" w:rsidR="00471FD0" w:rsidRPr="00471FD0" w:rsidRDefault="00471FD0" w:rsidP="00471FD0">
      <w:pPr>
        <w:autoSpaceDE w:val="0"/>
        <w:autoSpaceDN w:val="0"/>
        <w:adjustRightInd w:val="0"/>
        <w:spacing w:after="120"/>
        <w:rPr>
          <w:rFonts w:ascii="Georgia" w:hAnsi="Georgia" w:cs="Georgia"/>
          <w:sz w:val="24"/>
          <w:szCs w:val="24"/>
        </w:rPr>
      </w:pPr>
    </w:p>
    <w:sectPr w:rsidR="00471FD0" w:rsidRPr="0047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BB7C" w14:textId="77777777" w:rsidR="00BC6167" w:rsidRDefault="00BC6167" w:rsidP="00C1623C">
      <w:pPr>
        <w:spacing w:after="0"/>
      </w:pPr>
      <w:r>
        <w:separator/>
      </w:r>
    </w:p>
  </w:endnote>
  <w:endnote w:type="continuationSeparator" w:id="0">
    <w:p w14:paraId="1F098C84" w14:textId="77777777" w:rsidR="00BC6167" w:rsidRDefault="00BC6167" w:rsidP="00C16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32F4" w14:textId="77777777" w:rsidR="00902965" w:rsidRDefault="009029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F8FA" w14:textId="77777777" w:rsidR="005A3837" w:rsidRPr="005A3837" w:rsidRDefault="00C069FD">
    <w:pPr>
      <w:pStyle w:val="Footer"/>
      <w:rPr>
        <w:sz w:val="24"/>
        <w:szCs w:val="24"/>
      </w:rPr>
    </w:pPr>
    <w:r w:rsidRPr="00C069FD">
      <w:rPr>
        <w:rFonts w:ascii="Trebuchet MS" w:hAnsi="Trebuchet MS" w:cs="Trebuchet MS"/>
        <w:sz w:val="24"/>
        <w:szCs w:val="24"/>
      </w:rPr>
      <w:t>Displays and Distribution of Non-Library Materials Policy</w:t>
    </w:r>
    <w:r>
      <w:rPr>
        <w:rFonts w:ascii="Trebuchet MS" w:hAnsi="Trebuchet MS"/>
        <w:sz w:val="24"/>
        <w:szCs w:val="24"/>
      </w:rPr>
      <w:tab/>
      <w:t>MGT-</w:t>
    </w:r>
    <w:r w:rsidR="00862EC9">
      <w:rPr>
        <w:rFonts w:ascii="Trebuchet MS" w:hAnsi="Trebuchet MS"/>
        <w:sz w:val="24"/>
        <w:szCs w:val="24"/>
      </w:rPr>
      <w:t>0</w:t>
    </w:r>
    <w:r w:rsidR="00902965">
      <w:rPr>
        <w:rFonts w:ascii="Trebuchet MS" w:hAnsi="Trebuchet MS"/>
        <w:sz w:val="24"/>
        <w:szCs w:val="24"/>
      </w:rPr>
      <w:t>4</w:t>
    </w:r>
    <w:bookmarkStart w:id="0" w:name="_GoBack"/>
    <w:bookmarkEnd w:id="0"/>
    <w:r w:rsidR="0032556B">
      <w:rPr>
        <w:rFonts w:ascii="Trebuchet MS" w:hAnsi="Trebuchet MS"/>
        <w:sz w:val="24"/>
        <w:szCs w:val="24"/>
      </w:rPr>
      <w:t xml:space="preserve"> Page </w:t>
    </w:r>
    <w:r w:rsidR="005A3837">
      <w:rPr>
        <w:rFonts w:ascii="Trebuchet MS" w:hAnsi="Trebuchet MS"/>
        <w:sz w:val="24"/>
        <w:szCs w:val="24"/>
      </w:rPr>
      <w:fldChar w:fldCharType="begin"/>
    </w:r>
    <w:r w:rsidR="005A3837">
      <w:rPr>
        <w:rFonts w:ascii="Trebuchet MS" w:hAnsi="Trebuchet MS"/>
        <w:sz w:val="24"/>
        <w:szCs w:val="24"/>
      </w:rPr>
      <w:instrText xml:space="preserve"> PAGE  \* Arabic  \* MERGEFORMAT </w:instrText>
    </w:r>
    <w:r w:rsidR="005A3837">
      <w:rPr>
        <w:rFonts w:ascii="Trebuchet MS" w:hAnsi="Trebuchet MS"/>
        <w:sz w:val="24"/>
        <w:szCs w:val="24"/>
      </w:rPr>
      <w:fldChar w:fldCharType="separate"/>
    </w:r>
    <w:r w:rsidR="00902965">
      <w:rPr>
        <w:rFonts w:ascii="Trebuchet MS" w:hAnsi="Trebuchet MS"/>
        <w:noProof/>
        <w:sz w:val="24"/>
        <w:szCs w:val="24"/>
      </w:rPr>
      <w:t>1</w:t>
    </w:r>
    <w:r w:rsidR="005A3837">
      <w:rPr>
        <w:rFonts w:ascii="Trebuchet MS" w:hAnsi="Trebuchet MS"/>
        <w:sz w:val="24"/>
        <w:szCs w:val="24"/>
      </w:rPr>
      <w:fldChar w:fldCharType="end"/>
    </w:r>
    <w:r w:rsidR="0032556B">
      <w:rPr>
        <w:rFonts w:ascii="Trebuchet MS" w:hAnsi="Trebuchet MS"/>
        <w:sz w:val="24"/>
        <w:szCs w:val="24"/>
      </w:rPr>
      <w:t xml:space="preserve"> of </w:t>
    </w:r>
    <w:r w:rsidR="0032556B">
      <w:rPr>
        <w:rFonts w:ascii="Trebuchet MS" w:hAnsi="Trebuchet MS"/>
        <w:sz w:val="24"/>
        <w:szCs w:val="24"/>
      </w:rPr>
      <w:fldChar w:fldCharType="begin"/>
    </w:r>
    <w:r w:rsidR="0032556B">
      <w:rPr>
        <w:rFonts w:ascii="Trebuchet MS" w:hAnsi="Trebuchet MS"/>
        <w:sz w:val="24"/>
        <w:szCs w:val="24"/>
      </w:rPr>
      <w:instrText xml:space="preserve"> NUMPAGES  \* Arabic  \* MERGEFORMAT </w:instrText>
    </w:r>
    <w:r w:rsidR="0032556B">
      <w:rPr>
        <w:rFonts w:ascii="Trebuchet MS" w:hAnsi="Trebuchet MS"/>
        <w:sz w:val="24"/>
        <w:szCs w:val="24"/>
      </w:rPr>
      <w:fldChar w:fldCharType="separate"/>
    </w:r>
    <w:r w:rsidR="00902965">
      <w:rPr>
        <w:rFonts w:ascii="Trebuchet MS" w:hAnsi="Trebuchet MS"/>
        <w:noProof/>
        <w:sz w:val="24"/>
        <w:szCs w:val="24"/>
      </w:rPr>
      <w:t>2</w:t>
    </w:r>
    <w:r w:rsidR="0032556B">
      <w:rPr>
        <w:rFonts w:ascii="Trebuchet MS" w:hAnsi="Trebuchet MS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BEA4" w14:textId="77777777" w:rsidR="00902965" w:rsidRDefault="009029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0D25" w14:textId="77777777" w:rsidR="00BC6167" w:rsidRDefault="00BC6167" w:rsidP="00C1623C">
      <w:pPr>
        <w:spacing w:after="0"/>
      </w:pPr>
      <w:r>
        <w:separator/>
      </w:r>
    </w:p>
  </w:footnote>
  <w:footnote w:type="continuationSeparator" w:id="0">
    <w:p w14:paraId="491410D4" w14:textId="77777777" w:rsidR="00BC6167" w:rsidRDefault="00BC6167" w:rsidP="00C16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863C" w14:textId="77777777" w:rsidR="00902965" w:rsidRDefault="009029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36AF" w14:textId="77777777" w:rsidR="00C1623C" w:rsidRPr="00386532" w:rsidRDefault="00435850" w:rsidP="00211489">
    <w:pPr>
      <w:spacing w:after="0"/>
      <w:rPr>
        <w:rFonts w:ascii="Trebuchet MS" w:hAnsi="Trebuchet MS"/>
        <w:sz w:val="28"/>
        <w:szCs w:val="28"/>
      </w:rPr>
    </w:pPr>
    <w:r>
      <w:rPr>
        <w:rFonts w:ascii="Trebuchet MS" w:hAnsi="Trebuchet MS" w:cs="Trebuchet MS"/>
        <w:sz w:val="28"/>
        <w:szCs w:val="28"/>
      </w:rPr>
      <w:t>Displays and Distribution of Non-Library Materials Policy</w:t>
    </w:r>
    <w:r w:rsidR="00914CB7" w:rsidRPr="00386532">
      <w:rPr>
        <w:rFonts w:ascii="Trebuchet MS" w:hAnsi="Trebuchet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9BEBFE" wp14:editId="47B92692">
              <wp:simplePos x="0" y="0"/>
              <wp:positionH relativeFrom="column">
                <wp:posOffset>5257800</wp:posOffset>
              </wp:positionH>
              <wp:positionV relativeFrom="paragraph">
                <wp:posOffset>-228600</wp:posOffset>
              </wp:positionV>
              <wp:extent cx="1143000" cy="34747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98AD4" w14:textId="77777777" w:rsidR="00914CB7" w:rsidRPr="008F0905" w:rsidRDefault="00435850" w:rsidP="00914CB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MGT-</w:t>
                          </w:r>
                          <w:r w:rsidR="00E007B8"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0</w:t>
                          </w:r>
                          <w:r w:rsidR="00902965"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4pt;margin-top:-17.95pt;width:90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" stroked="f">
              <v:textbox>
                <w:txbxContent>
                  <w:p w14:paraId="25098AD4" w14:textId="77777777" w:rsidR="00914CB7" w:rsidRPr="008F0905" w:rsidRDefault="00435850" w:rsidP="00914CB7">
                    <w:pPr>
                      <w:jc w:val="center"/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MGT-</w:t>
                    </w:r>
                    <w:r w:rsidR="00E007B8"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0</w:t>
                    </w:r>
                    <w:r w:rsidR="00902965"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CBD9" w14:textId="77777777" w:rsidR="00902965" w:rsidRDefault="009029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13CE8"/>
    <w:multiLevelType w:val="multilevel"/>
    <w:tmpl w:val="4862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4772F"/>
    <w:multiLevelType w:val="multilevel"/>
    <w:tmpl w:val="4862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00EE8"/>
    <w:multiLevelType w:val="hybridMultilevel"/>
    <w:tmpl w:val="F60258A2"/>
    <w:lvl w:ilvl="0" w:tplc="613C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74BB6"/>
    <w:multiLevelType w:val="multilevel"/>
    <w:tmpl w:val="4862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3"/>
    <w:rsid w:val="00053E14"/>
    <w:rsid w:val="000948CC"/>
    <w:rsid w:val="000E3E6C"/>
    <w:rsid w:val="00150475"/>
    <w:rsid w:val="00211489"/>
    <w:rsid w:val="00294267"/>
    <w:rsid w:val="002A2BA9"/>
    <w:rsid w:val="00321F15"/>
    <w:rsid w:val="0032556B"/>
    <w:rsid w:val="00386532"/>
    <w:rsid w:val="00435850"/>
    <w:rsid w:val="00471FD0"/>
    <w:rsid w:val="004A57A3"/>
    <w:rsid w:val="004C1AE2"/>
    <w:rsid w:val="004C4E39"/>
    <w:rsid w:val="00537981"/>
    <w:rsid w:val="005A3837"/>
    <w:rsid w:val="005E3323"/>
    <w:rsid w:val="006A568E"/>
    <w:rsid w:val="00733989"/>
    <w:rsid w:val="007559E6"/>
    <w:rsid w:val="007900B3"/>
    <w:rsid w:val="007F0CED"/>
    <w:rsid w:val="00862EC9"/>
    <w:rsid w:val="00902965"/>
    <w:rsid w:val="00914CB7"/>
    <w:rsid w:val="009678EB"/>
    <w:rsid w:val="009F110E"/>
    <w:rsid w:val="00A17FA3"/>
    <w:rsid w:val="00A633DB"/>
    <w:rsid w:val="00BC1415"/>
    <w:rsid w:val="00BC6167"/>
    <w:rsid w:val="00C069FD"/>
    <w:rsid w:val="00C1623C"/>
    <w:rsid w:val="00C35A34"/>
    <w:rsid w:val="00C85FE6"/>
    <w:rsid w:val="00CE2BE2"/>
    <w:rsid w:val="00D27E25"/>
    <w:rsid w:val="00D835D2"/>
    <w:rsid w:val="00D95B62"/>
    <w:rsid w:val="00DA21CC"/>
    <w:rsid w:val="00DE1F66"/>
    <w:rsid w:val="00E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8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3"/>
    <w:pPr>
      <w:spacing w:after="8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23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62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23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A21CC"/>
    <w:pPr>
      <w:ind w:left="720"/>
      <w:contextualSpacing/>
    </w:pPr>
  </w:style>
  <w:style w:type="paragraph" w:customStyle="1" w:styleId="ApprovedUpdateHistory">
    <w:name w:val="Approved/Update History"/>
    <w:rsid w:val="00211489"/>
    <w:pPr>
      <w:spacing w:after="40"/>
    </w:pPr>
    <w:rPr>
      <w:rFonts w:ascii="Georgia" w:eastAsia="Times New Roman" w:hAnsi="Georg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0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0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3"/>
    <w:pPr>
      <w:spacing w:after="8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23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62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23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A21CC"/>
    <w:pPr>
      <w:ind w:left="720"/>
      <w:contextualSpacing/>
    </w:pPr>
  </w:style>
  <w:style w:type="paragraph" w:customStyle="1" w:styleId="ApprovedUpdateHistory">
    <w:name w:val="Approved/Update History"/>
    <w:rsid w:val="00211489"/>
    <w:pPr>
      <w:spacing w:after="40"/>
    </w:pPr>
    <w:rPr>
      <w:rFonts w:ascii="Georgia" w:eastAsia="Times New Roman" w:hAnsi="Georg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0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0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9CD5-8487-584B-BB4D-05777259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Township Public Library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Hutchins</dc:creator>
  <cp:lastModifiedBy>Dan Hutchins</cp:lastModifiedBy>
  <cp:revision>7</cp:revision>
  <dcterms:created xsi:type="dcterms:W3CDTF">2016-03-01T16:32:00Z</dcterms:created>
  <dcterms:modified xsi:type="dcterms:W3CDTF">2017-05-18T20:47:00Z</dcterms:modified>
</cp:coreProperties>
</file>